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A4" w:rsidRDefault="00821A2C" w:rsidP="00A603A4">
      <w:pPr>
        <w:spacing w:before="35"/>
        <w:ind w:right="13"/>
        <w:jc w:val="center"/>
        <w:rPr>
          <w:rFonts w:ascii="Times New Roman" w:eastAsia="Calibri" w:hAnsi="Times New Roman" w:cs="Times New Roman"/>
          <w:b/>
          <w:bCs/>
          <w:color w:val="006FC0"/>
          <w:spacing w:val="23"/>
          <w:w w:val="99"/>
          <w:sz w:val="32"/>
          <w:szCs w:val="32"/>
        </w:rPr>
      </w:pP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Bioinformatics</w:t>
      </w:r>
      <w:r w:rsidRPr="00A603A4">
        <w:rPr>
          <w:rFonts w:ascii="Times New Roman" w:eastAsia="Calibri" w:hAnsi="Times New Roman" w:cs="Times New Roman"/>
          <w:b/>
          <w:bCs/>
          <w:color w:val="006FC0"/>
          <w:spacing w:val="-19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Homework</w:t>
      </w:r>
      <w:r w:rsidR="00A603A4">
        <w:rPr>
          <w:rFonts w:ascii="Times New Roman" w:eastAsia="Calibri" w:hAnsi="Times New Roman" w:cs="Times New Roman"/>
          <w:b/>
          <w:bCs/>
          <w:color w:val="006FC0"/>
          <w:spacing w:val="-15"/>
          <w:sz w:val="32"/>
          <w:szCs w:val="32"/>
        </w:rPr>
        <w:t xml:space="preserve"> </w:t>
      </w:r>
      <w:r w:rsidR="00A603A4"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2</w:t>
      </w:r>
      <w:r w:rsidR="00A603A4" w:rsidRPr="00A603A4">
        <w:rPr>
          <w:rFonts w:ascii="Times New Roman" w:eastAsia="Calibri" w:hAnsi="Times New Roman" w:cs="Times New Roman"/>
          <w:b/>
          <w:bCs/>
          <w:color w:val="006FC0"/>
          <w:spacing w:val="23"/>
          <w:w w:val="99"/>
          <w:sz w:val="32"/>
          <w:szCs w:val="32"/>
        </w:rPr>
        <w:t xml:space="preserve"> </w:t>
      </w:r>
    </w:p>
    <w:p w:rsidR="00A603A4" w:rsidRPr="00A603A4" w:rsidRDefault="00A603A4" w:rsidP="00A603A4">
      <w:pPr>
        <w:spacing w:before="35"/>
        <w:ind w:right="13"/>
        <w:jc w:val="center"/>
        <w:rPr>
          <w:rFonts w:ascii="Times New Roman" w:eastAsia="Calibri" w:hAnsi="Times New Roman" w:cs="Times New Roman"/>
          <w:b/>
          <w:bCs/>
          <w:color w:val="006FC0"/>
          <w:spacing w:val="-15"/>
          <w:sz w:val="32"/>
          <w:szCs w:val="32"/>
        </w:rPr>
      </w:pP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Style</w:t>
      </w:r>
      <w:r w:rsidRPr="00A603A4">
        <w:rPr>
          <w:rFonts w:ascii="Times New Roman" w:eastAsia="Calibri" w:hAnsi="Times New Roman" w:cs="Times New Roman"/>
          <w:b/>
          <w:bCs/>
          <w:color w:val="006FC0"/>
          <w:spacing w:val="-11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1:</w:t>
      </w:r>
      <w:r w:rsidRPr="00A603A4">
        <w:rPr>
          <w:rFonts w:ascii="Times New Roman" w:eastAsia="Calibri" w:hAnsi="Times New Roman" w:cs="Times New Roman"/>
          <w:b/>
          <w:bCs/>
          <w:color w:val="006FC0"/>
          <w:spacing w:val="-11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Literature</w:t>
      </w:r>
      <w:r>
        <w:rPr>
          <w:rFonts w:ascii="Times New Roman" w:eastAsia="Calibri" w:hAnsi="Times New Roman" w:cs="Times New Roman"/>
          <w:b/>
          <w:bCs/>
          <w:color w:val="006FC0"/>
          <w:spacing w:val="-10"/>
          <w:sz w:val="32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color w:val="006FC0"/>
          <w:sz w:val="32"/>
          <w:szCs w:val="32"/>
        </w:rPr>
        <w:t>Project</w:t>
      </w:r>
    </w:p>
    <w:p w:rsidR="00C46CE3" w:rsidRPr="00A603A4" w:rsidRDefault="00C46CE3">
      <w:pPr>
        <w:spacing w:before="4" w:line="130" w:lineRule="exact"/>
        <w:rPr>
          <w:rFonts w:ascii="Times New Roman" w:hAnsi="Times New Roman" w:cs="Times New Roman"/>
          <w:sz w:val="13"/>
          <w:szCs w:val="13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Default="00821A2C">
      <w:pPr>
        <w:pStyle w:val="BodyText"/>
        <w:rPr>
          <w:rFonts w:ascii="Times New Roman" w:hAnsi="Times New Roman" w:cs="Times New Roman"/>
          <w:spacing w:val="-1"/>
        </w:rPr>
      </w:pPr>
      <w:r w:rsidRPr="00A603A4">
        <w:rPr>
          <w:rFonts w:ascii="Times New Roman" w:hAnsi="Times New Roman" w:cs="Times New Roman"/>
          <w:spacing w:val="-1"/>
        </w:rPr>
        <w:t>Choose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821A2C">
        <w:rPr>
          <w:rFonts w:ascii="Times New Roman" w:hAnsi="Times New Roman" w:cs="Times New Roman"/>
          <w:color w:val="FF0000"/>
        </w:rPr>
        <w:t>one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 xml:space="preserve">of </w:t>
      </w:r>
      <w:r w:rsidRPr="00A603A4">
        <w:rPr>
          <w:rFonts w:ascii="Times New Roman" w:hAnsi="Times New Roman" w:cs="Times New Roman"/>
          <w:spacing w:val="-2"/>
        </w:rPr>
        <w:t>the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papers</w:t>
      </w:r>
      <w:r w:rsidRPr="00A603A4">
        <w:rPr>
          <w:rFonts w:ascii="Times New Roman" w:hAnsi="Times New Roman" w:cs="Times New Roman"/>
          <w:spacing w:val="-4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below:</w:t>
      </w:r>
    </w:p>
    <w:p w:rsidR="00821A2C" w:rsidRPr="00A603A4" w:rsidRDefault="00821A2C">
      <w:pPr>
        <w:pStyle w:val="BodyText"/>
        <w:rPr>
          <w:rFonts w:ascii="Times New Roman" w:hAnsi="Times New Roman" w:cs="Times New Roman"/>
          <w:spacing w:val="-1"/>
        </w:rPr>
      </w:pPr>
      <w:bookmarkStart w:id="0" w:name="_GoBack"/>
      <w:bookmarkEnd w:id="0"/>
    </w:p>
    <w:p w:rsidR="00A3591C" w:rsidRPr="00821A2C" w:rsidRDefault="00A3591C" w:rsidP="00A3591C">
      <w:pPr>
        <w:pStyle w:val="ListParagraph"/>
        <w:widowControl/>
        <w:numPr>
          <w:ilvl w:val="0"/>
          <w:numId w:val="3"/>
        </w:numPr>
        <w:contextualSpacing/>
        <w:rPr>
          <w:rFonts w:ascii="Verdana" w:eastAsia="Times New Roman" w:hAnsi="Verdana" w:cs="Times New Roman"/>
          <w:sz w:val="18"/>
          <w:szCs w:val="24"/>
          <w:lang w:val="en-CA" w:eastAsia="en-CA"/>
        </w:rPr>
      </w:pPr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Day-Williams AG, </w:t>
      </w:r>
      <w:proofErr w:type="spellStart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>Zeggini</w:t>
      </w:r>
      <w:proofErr w:type="spellEnd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 E </w:t>
      </w:r>
      <w:r w:rsidRPr="00821A2C">
        <w:rPr>
          <w:rFonts w:ascii="Verdana" w:eastAsiaTheme="minorEastAsia" w:hAnsi="Verdana" w:cs="Times New Roman"/>
          <w:b/>
          <w:bCs/>
          <w:iCs/>
          <w:color w:val="000000" w:themeColor="text1"/>
          <w:kern w:val="24"/>
          <w:sz w:val="18"/>
          <w:szCs w:val="38"/>
          <w:lang w:val="en-CA" w:eastAsia="en-CA"/>
        </w:rPr>
        <w:t>The effect of next-generation sequencing technology on complex trait research</w:t>
      </w:r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. </w:t>
      </w:r>
      <w:proofErr w:type="spellStart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>Eur</w:t>
      </w:r>
      <w:proofErr w:type="spellEnd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 J </w:t>
      </w:r>
      <w:proofErr w:type="spellStart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>Clin</w:t>
      </w:r>
      <w:proofErr w:type="spellEnd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 Invest. 2011 May;41(5):561-7</w:t>
      </w:r>
    </w:p>
    <w:p w:rsidR="00A3591C" w:rsidRPr="00821A2C" w:rsidRDefault="00A3591C" w:rsidP="00A3591C">
      <w:pPr>
        <w:pStyle w:val="ListParagraph"/>
        <w:widowControl/>
        <w:numPr>
          <w:ilvl w:val="0"/>
          <w:numId w:val="3"/>
        </w:numPr>
        <w:contextualSpacing/>
        <w:rPr>
          <w:rFonts w:ascii="Verdana" w:eastAsia="Times New Roman" w:hAnsi="Verdana" w:cs="Times New Roman"/>
          <w:sz w:val="18"/>
          <w:szCs w:val="24"/>
          <w:lang w:val="en-CA" w:eastAsia="en-CA"/>
        </w:rPr>
      </w:pPr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Do R, </w:t>
      </w:r>
      <w:proofErr w:type="spellStart"/>
      <w:r w:rsidRPr="00821A2C">
        <w:rPr>
          <w:rFonts w:ascii="Verdana" w:eastAsiaTheme="minorEastAsia" w:hAnsi="Verdana" w:cs="Times New Roman"/>
          <w:b/>
          <w:bCs/>
          <w:iCs/>
          <w:color w:val="000000" w:themeColor="text1"/>
          <w:kern w:val="24"/>
          <w:sz w:val="18"/>
          <w:szCs w:val="38"/>
          <w:lang w:val="en-CA" w:eastAsia="en-CA"/>
        </w:rPr>
        <w:t>Exome</w:t>
      </w:r>
      <w:proofErr w:type="spellEnd"/>
      <w:r w:rsidRPr="00821A2C">
        <w:rPr>
          <w:rFonts w:ascii="Verdana" w:eastAsiaTheme="minorEastAsia" w:hAnsi="Verdana" w:cs="Times New Roman"/>
          <w:b/>
          <w:bCs/>
          <w:iCs/>
          <w:color w:val="000000" w:themeColor="text1"/>
          <w:kern w:val="24"/>
          <w:sz w:val="18"/>
          <w:szCs w:val="38"/>
          <w:lang w:val="en-CA" w:eastAsia="en-CA"/>
        </w:rPr>
        <w:t xml:space="preserve"> sequencing and complex disease: practical aspects of rare variant association studies</w:t>
      </w:r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. Hum </w:t>
      </w:r>
      <w:proofErr w:type="spellStart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>Mol</w:t>
      </w:r>
      <w:proofErr w:type="spellEnd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 Genet. 2012 Oct 15;21(R1):R1-9</w:t>
      </w:r>
    </w:p>
    <w:p w:rsidR="00A3591C" w:rsidRPr="00821A2C" w:rsidRDefault="00A3591C" w:rsidP="00A3591C">
      <w:pPr>
        <w:pStyle w:val="ListParagraph"/>
        <w:widowControl/>
        <w:numPr>
          <w:ilvl w:val="0"/>
          <w:numId w:val="3"/>
        </w:numPr>
        <w:contextualSpacing/>
        <w:rPr>
          <w:rFonts w:ascii="Verdana" w:eastAsia="Times New Roman" w:hAnsi="Verdana" w:cs="Times New Roman"/>
          <w:sz w:val="18"/>
          <w:szCs w:val="24"/>
          <w:lang w:val="en-CA" w:eastAsia="en-CA"/>
        </w:rPr>
      </w:pPr>
      <w:proofErr w:type="spellStart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>Hurd</w:t>
      </w:r>
      <w:proofErr w:type="spellEnd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 PJ, Nelson CJ. </w:t>
      </w:r>
      <w:r w:rsidRPr="00821A2C">
        <w:rPr>
          <w:rFonts w:ascii="Verdana" w:eastAsiaTheme="minorEastAsia" w:hAnsi="Verdana" w:cs="Times New Roman"/>
          <w:b/>
          <w:bCs/>
          <w:iCs/>
          <w:color w:val="000000" w:themeColor="text1"/>
          <w:kern w:val="24"/>
          <w:sz w:val="18"/>
          <w:szCs w:val="38"/>
          <w:lang w:val="en-CA" w:eastAsia="en-CA"/>
        </w:rPr>
        <w:t>Advantages of next-generation sequencing versus the microarray in epigenetic research</w:t>
      </w:r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. Brief </w:t>
      </w:r>
      <w:proofErr w:type="spellStart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>Funct</w:t>
      </w:r>
      <w:proofErr w:type="spellEnd"/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 Genomic Proteomic. 2009 May;8(3):174-83</w:t>
      </w:r>
    </w:p>
    <w:p w:rsidR="00C46CE3" w:rsidRPr="00821A2C" w:rsidRDefault="00A3591C" w:rsidP="00A3591C">
      <w:pPr>
        <w:pStyle w:val="ListParagraph"/>
        <w:widowControl/>
        <w:numPr>
          <w:ilvl w:val="0"/>
          <w:numId w:val="3"/>
        </w:numPr>
        <w:contextualSpacing/>
        <w:rPr>
          <w:rFonts w:ascii="Verdana" w:eastAsia="Times New Roman" w:hAnsi="Verdana" w:cs="Times New Roman"/>
          <w:sz w:val="18"/>
          <w:szCs w:val="24"/>
          <w:lang w:val="en-CA" w:eastAsia="en-CA"/>
        </w:rPr>
      </w:pPr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 xml:space="preserve">Goldstein DB. </w:t>
      </w:r>
      <w:r w:rsidRPr="00821A2C">
        <w:rPr>
          <w:rFonts w:ascii="Verdana" w:eastAsiaTheme="minorEastAsia" w:hAnsi="Verdana" w:cs="Times New Roman"/>
          <w:b/>
          <w:bCs/>
          <w:iCs/>
          <w:color w:val="000000" w:themeColor="text1"/>
          <w:kern w:val="24"/>
          <w:sz w:val="18"/>
          <w:szCs w:val="38"/>
          <w:lang w:val="en-CA" w:eastAsia="en-CA"/>
        </w:rPr>
        <w:t>Sequencing studies in human genetics: design and interpretation.</w:t>
      </w:r>
      <w:r w:rsidRPr="00821A2C">
        <w:rPr>
          <w:rFonts w:ascii="Verdana" w:eastAsiaTheme="minorEastAsia" w:hAnsi="Verdana" w:cs="Times New Roman"/>
          <w:bCs/>
          <w:iCs/>
          <w:color w:val="000000" w:themeColor="text1"/>
          <w:kern w:val="24"/>
          <w:sz w:val="18"/>
          <w:szCs w:val="38"/>
          <w:lang w:val="en-CA" w:eastAsia="en-CA"/>
        </w:rPr>
        <w:t xml:space="preserve"> Nat Rev Genet</w:t>
      </w:r>
      <w:r w:rsidRPr="00821A2C">
        <w:rPr>
          <w:rFonts w:ascii="Verdana" w:eastAsiaTheme="minorEastAsia" w:hAnsi="Verdana" w:cs="Times New Roman"/>
          <w:iCs/>
          <w:color w:val="000000" w:themeColor="text1"/>
          <w:kern w:val="24"/>
          <w:sz w:val="18"/>
          <w:szCs w:val="38"/>
          <w:lang w:val="en-CA" w:eastAsia="en-CA"/>
        </w:rPr>
        <w:t>. 2013 Jul;14(7):460-70</w:t>
      </w:r>
    </w:p>
    <w:p w:rsidR="00C46CE3" w:rsidRPr="00A603A4" w:rsidRDefault="00C46CE3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C46CE3" w:rsidRPr="00A603A4" w:rsidRDefault="00821A2C">
      <w:pPr>
        <w:pStyle w:val="BodyText"/>
        <w:ind w:right="1582"/>
        <w:rPr>
          <w:rFonts w:ascii="Times New Roman" w:hAnsi="Times New Roman" w:cs="Times New Roman"/>
        </w:rPr>
      </w:pPr>
      <w:r w:rsidRPr="00A603A4">
        <w:rPr>
          <w:rFonts w:ascii="Times New Roman" w:hAnsi="Times New Roman" w:cs="Times New Roman"/>
        </w:rPr>
        <w:t xml:space="preserve">These </w:t>
      </w:r>
      <w:r w:rsidRPr="00A603A4">
        <w:rPr>
          <w:rFonts w:ascii="Times New Roman" w:hAnsi="Times New Roman" w:cs="Times New Roman"/>
          <w:spacing w:val="-1"/>
        </w:rPr>
        <w:t>papers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extend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 xml:space="preserve">or </w:t>
      </w:r>
      <w:r w:rsidRPr="00A603A4">
        <w:rPr>
          <w:rFonts w:ascii="Times New Roman" w:hAnsi="Times New Roman" w:cs="Times New Roman"/>
          <w:spacing w:val="-2"/>
        </w:rPr>
        <w:t>provide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additional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 xml:space="preserve">background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</w:t>
      </w:r>
      <w:r w:rsidRPr="00A603A4">
        <w:rPr>
          <w:rFonts w:ascii="Times New Roman" w:hAnsi="Times New Roman" w:cs="Times New Roman"/>
          <w:spacing w:val="-2"/>
        </w:rPr>
        <w:t>the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course</w:t>
      </w:r>
      <w:r w:rsidRPr="00A603A4">
        <w:rPr>
          <w:rFonts w:ascii="Times New Roman" w:hAnsi="Times New Roman" w:cs="Times New Roman"/>
          <w:spacing w:val="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notes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covering</w:t>
      </w:r>
      <w:r w:rsidRPr="00A603A4">
        <w:rPr>
          <w:rFonts w:ascii="Times New Roman" w:hAnsi="Times New Roman" w:cs="Times New Roman"/>
          <w:spacing w:val="59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“bioinformatics”,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“molecular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biology”,</w:t>
      </w:r>
      <w:r w:rsidRPr="00A603A4">
        <w:rPr>
          <w:rFonts w:ascii="Times New Roman" w:hAnsi="Times New Roman" w:cs="Times New Roman"/>
        </w:rPr>
        <w:t xml:space="preserve"> and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“sequence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analysis”.</w:t>
      </w:r>
    </w:p>
    <w:p w:rsidR="00C46CE3" w:rsidRPr="00A603A4" w:rsidRDefault="00C46CE3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:rsidR="00C46CE3" w:rsidRPr="00A603A4" w:rsidRDefault="00821A2C">
      <w:pPr>
        <w:pStyle w:val="BodyText"/>
        <w:ind w:right="897"/>
        <w:rPr>
          <w:rFonts w:ascii="Times New Roman" w:hAnsi="Times New Roman" w:cs="Times New Roman"/>
        </w:rPr>
      </w:pPr>
      <w:r w:rsidRPr="00A603A4">
        <w:rPr>
          <w:rFonts w:ascii="Times New Roman" w:hAnsi="Times New Roman" w:cs="Times New Roman"/>
        </w:rPr>
        <w:t>Read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paper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and summarize</w:t>
      </w:r>
      <w:r w:rsidRPr="00A603A4">
        <w:rPr>
          <w:rFonts w:ascii="Times New Roman" w:hAnsi="Times New Roman" w:cs="Times New Roman"/>
        </w:rPr>
        <w:t xml:space="preserve"> it. </w:t>
      </w:r>
      <w:r w:rsidRPr="00A603A4">
        <w:rPr>
          <w:rFonts w:ascii="Times New Roman" w:hAnsi="Times New Roman" w:cs="Times New Roman"/>
          <w:spacing w:val="-1"/>
        </w:rPr>
        <w:t>Clearly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specify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its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objectives,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summarize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methods</w:t>
      </w:r>
      <w:r w:rsidRPr="00A603A4">
        <w:rPr>
          <w:rFonts w:ascii="Times New Roman" w:hAnsi="Times New Roman" w:cs="Times New Roman"/>
        </w:rPr>
        <w:t xml:space="preserve"> used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or</w:t>
      </w:r>
      <w:r w:rsidRPr="00A603A4">
        <w:rPr>
          <w:rFonts w:ascii="Times New Roman" w:hAnsi="Times New Roman" w:cs="Times New Roman"/>
          <w:spacing w:val="45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explained,</w:t>
      </w:r>
      <w:r w:rsidRPr="00A603A4">
        <w:rPr>
          <w:rFonts w:ascii="Times New Roman" w:hAnsi="Times New Roman" w:cs="Times New Roman"/>
        </w:rPr>
        <w:t xml:space="preserve"> and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discuss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its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content,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by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looking into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additional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resources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web.</w:t>
      </w:r>
    </w:p>
    <w:p w:rsidR="00C46CE3" w:rsidRPr="00A603A4" w:rsidRDefault="00C46CE3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C46CE3" w:rsidRPr="00A603A4" w:rsidRDefault="00821A2C">
      <w:pPr>
        <w:pStyle w:val="BodyText"/>
        <w:ind w:right="105"/>
        <w:rPr>
          <w:rFonts w:ascii="Times New Roman" w:hAnsi="Times New Roman" w:cs="Times New Roman"/>
        </w:rPr>
      </w:pPr>
      <w:r w:rsidRPr="00A603A4">
        <w:rPr>
          <w:rFonts w:ascii="Times New Roman" w:hAnsi="Times New Roman" w:cs="Times New Roman"/>
        </w:rPr>
        <w:t>Do</w:t>
      </w:r>
      <w:r w:rsidRPr="00A603A4">
        <w:rPr>
          <w:rFonts w:ascii="Times New Roman" w:hAnsi="Times New Roman" w:cs="Times New Roman"/>
          <w:spacing w:val="-1"/>
        </w:rPr>
        <w:t xml:space="preserve"> </w:t>
      </w:r>
      <w:r w:rsidRPr="00A603A4">
        <w:rPr>
          <w:rFonts w:ascii="Times New Roman" w:hAnsi="Times New Roman" w:cs="Times New Roman"/>
        </w:rPr>
        <w:t>not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copy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2"/>
        </w:rPr>
        <w:t>the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paper,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but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show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you have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understood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main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ideas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of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 xml:space="preserve">the </w:t>
      </w:r>
      <w:r w:rsidRPr="00A603A4">
        <w:rPr>
          <w:rFonts w:ascii="Times New Roman" w:hAnsi="Times New Roman" w:cs="Times New Roman"/>
          <w:spacing w:val="-1"/>
        </w:rPr>
        <w:t>paper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and “discuss”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the</w:t>
      </w:r>
      <w:r w:rsidRPr="00A603A4">
        <w:rPr>
          <w:rFonts w:ascii="Times New Roman" w:hAnsi="Times New Roman" w:cs="Times New Roman"/>
          <w:spacing w:val="55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paper.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Such</w:t>
      </w:r>
      <w:r w:rsidRPr="00A603A4">
        <w:rPr>
          <w:rFonts w:ascii="Times New Roman" w:hAnsi="Times New Roman" w:cs="Times New Roman"/>
        </w:rPr>
        <w:t xml:space="preserve"> a </w:t>
      </w:r>
      <w:r w:rsidRPr="00A603A4">
        <w:rPr>
          <w:rFonts w:ascii="Times New Roman" w:hAnsi="Times New Roman" w:cs="Times New Roman"/>
          <w:spacing w:val="-1"/>
        </w:rPr>
        <w:t>discussion could include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thoughts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what</w:t>
      </w:r>
      <w:r w:rsidRPr="00A603A4">
        <w:rPr>
          <w:rFonts w:ascii="Times New Roman" w:hAnsi="Times New Roman" w:cs="Times New Roman"/>
        </w:rPr>
        <w:t xml:space="preserve"> was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key</w:t>
      </w:r>
      <w:r w:rsidRPr="00A603A4">
        <w:rPr>
          <w:rFonts w:ascii="Times New Roman" w:hAnsi="Times New Roman" w:cs="Times New Roman"/>
        </w:rPr>
        <w:t xml:space="preserve"> idea,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strengths</w:t>
      </w:r>
      <w:r w:rsidRPr="00A603A4">
        <w:rPr>
          <w:rFonts w:ascii="Times New Roman" w:hAnsi="Times New Roman" w:cs="Times New Roman"/>
        </w:rPr>
        <w:t xml:space="preserve"> or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weaknesses</w:t>
      </w:r>
      <w:r w:rsidRPr="00A603A4">
        <w:rPr>
          <w:rFonts w:ascii="Times New Roman" w:hAnsi="Times New Roman" w:cs="Times New Roman"/>
          <w:spacing w:val="71"/>
        </w:rPr>
        <w:t xml:space="preserve"> </w:t>
      </w:r>
      <w:proofErr w:type="gramStart"/>
      <w:r w:rsidRPr="00A603A4">
        <w:rPr>
          <w:rFonts w:ascii="Times New Roman" w:hAnsi="Times New Roman" w:cs="Times New Roman"/>
        </w:rPr>
        <w:t>of</w:t>
      </w:r>
      <w:proofErr w:type="gramEnd"/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the</w:t>
      </w:r>
      <w:r w:rsidRPr="00A603A4">
        <w:rPr>
          <w:rFonts w:ascii="Times New Roman" w:hAnsi="Times New Roman" w:cs="Times New Roman"/>
          <w:spacing w:val="-4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methods/experiments,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comments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</w:rPr>
        <w:t>on</w:t>
      </w:r>
      <w:r w:rsidRPr="00A603A4">
        <w:rPr>
          <w:rFonts w:ascii="Times New Roman" w:hAnsi="Times New Roman" w:cs="Times New Roman"/>
          <w:spacing w:val="-1"/>
        </w:rPr>
        <w:t xml:space="preserve"> 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writing,</w:t>
      </w:r>
      <w:r w:rsidRPr="00A603A4">
        <w:rPr>
          <w:rFonts w:ascii="Times New Roman" w:hAnsi="Times New Roman" w:cs="Times New Roman"/>
        </w:rPr>
        <w:t xml:space="preserve"> ways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to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extend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the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work,</w:t>
      </w:r>
      <w:r w:rsidRPr="00A603A4">
        <w:rPr>
          <w:rFonts w:ascii="Times New Roman" w:hAnsi="Times New Roman" w:cs="Times New Roman"/>
        </w:rPr>
        <w:t xml:space="preserve"> flaws in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</w:rPr>
        <w:t>the</w:t>
      </w:r>
      <w:r w:rsidRPr="00A603A4">
        <w:rPr>
          <w:rFonts w:ascii="Times New Roman" w:hAnsi="Times New Roman" w:cs="Times New Roman"/>
          <w:spacing w:val="47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argument/data/experiments,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etc.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 xml:space="preserve">Anything </w:t>
      </w:r>
      <w:r w:rsidRPr="00A603A4">
        <w:rPr>
          <w:rFonts w:ascii="Times New Roman" w:hAnsi="Times New Roman" w:cs="Times New Roman"/>
        </w:rPr>
        <w:t>is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fine,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</w:rPr>
        <w:t>as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 xml:space="preserve">long </w:t>
      </w:r>
      <w:r w:rsidRPr="00A603A4">
        <w:rPr>
          <w:rFonts w:ascii="Times New Roman" w:hAnsi="Times New Roman" w:cs="Times New Roman"/>
        </w:rPr>
        <w:t>as it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demonstrates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some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real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thought.</w:t>
      </w:r>
    </w:p>
    <w:p w:rsidR="00C46CE3" w:rsidRPr="00A603A4" w:rsidRDefault="00C46CE3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C46CE3" w:rsidRPr="00A603A4" w:rsidRDefault="00821A2C">
      <w:pPr>
        <w:pStyle w:val="BodyText"/>
        <w:spacing w:line="266" w:lineRule="exact"/>
        <w:ind w:right="301"/>
        <w:rPr>
          <w:rFonts w:ascii="Times New Roman" w:hAnsi="Times New Roman" w:cs="Times New Roman"/>
        </w:rPr>
      </w:pPr>
      <w:r w:rsidRPr="00A603A4">
        <w:rPr>
          <w:rFonts w:ascii="Times New Roman" w:hAnsi="Times New Roman" w:cs="Times New Roman"/>
          <w:spacing w:val="-1"/>
        </w:rPr>
        <w:t>All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literature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projects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will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2"/>
        </w:rPr>
        <w:t>be</w:t>
      </w:r>
      <w:r w:rsidRPr="00A603A4">
        <w:rPr>
          <w:rFonts w:ascii="Times New Roman" w:hAnsi="Times New Roman" w:cs="Times New Roman"/>
          <w:spacing w:val="2"/>
        </w:rPr>
        <w:t xml:space="preserve"> </w:t>
      </w:r>
      <w:r w:rsidRPr="00A603A4">
        <w:rPr>
          <w:rFonts w:ascii="Times New Roman" w:hAnsi="Times New Roman" w:cs="Times New Roman"/>
          <w:spacing w:val="-1"/>
          <w:u w:val="single" w:color="000000"/>
        </w:rPr>
        <w:t>presented</w:t>
      </w:r>
      <w:r w:rsidRPr="00A603A4">
        <w:rPr>
          <w:rFonts w:ascii="Times New Roman" w:hAnsi="Times New Roman" w:cs="Times New Roman"/>
          <w:u w:val="single" w:color="000000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and discussed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u w:val="single" w:color="000000"/>
        </w:rPr>
        <w:t>in</w:t>
      </w:r>
      <w:r w:rsidRPr="00A603A4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A603A4">
        <w:rPr>
          <w:rFonts w:ascii="Times New Roman" w:hAnsi="Times New Roman" w:cs="Times New Roman"/>
          <w:spacing w:val="-1"/>
          <w:u w:val="single" w:color="000000"/>
        </w:rPr>
        <w:t>the</w:t>
      </w:r>
      <w:r w:rsidRPr="00A603A4">
        <w:rPr>
          <w:rFonts w:ascii="Times New Roman" w:hAnsi="Times New Roman" w:cs="Times New Roman"/>
          <w:u w:val="single" w:color="000000"/>
        </w:rPr>
        <w:t xml:space="preserve"> class</w:t>
      </w:r>
      <w:r w:rsidRPr="00A603A4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A603A4">
        <w:rPr>
          <w:rFonts w:ascii="Times New Roman" w:hAnsi="Times New Roman" w:cs="Times New Roman"/>
          <w:u w:val="single" w:color="000000"/>
        </w:rPr>
        <w:t>of</w:t>
      </w:r>
      <w:r w:rsidRPr="00A603A4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="00A3591C" w:rsidRPr="00A603A4">
        <w:rPr>
          <w:rFonts w:ascii="Times New Roman" w:hAnsi="Times New Roman" w:cs="Times New Roman"/>
          <w:spacing w:val="-1"/>
          <w:u w:val="single" w:color="000000"/>
        </w:rPr>
        <w:t>Dec 10</w:t>
      </w:r>
      <w:r w:rsidR="00A3591C" w:rsidRPr="00A603A4">
        <w:rPr>
          <w:rFonts w:ascii="Times New Roman" w:hAnsi="Times New Roman" w:cs="Times New Roman"/>
          <w:u w:val="single" w:color="000000"/>
        </w:rPr>
        <w:t>th 2013</w:t>
      </w:r>
      <w:r w:rsidRPr="00A603A4">
        <w:rPr>
          <w:rFonts w:ascii="Times New Roman" w:hAnsi="Times New Roman" w:cs="Times New Roman"/>
          <w:spacing w:val="-1"/>
        </w:rPr>
        <w:t>.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Hence,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make</w:t>
      </w:r>
      <w:r w:rsidRPr="00A603A4">
        <w:rPr>
          <w:rFonts w:ascii="Times New Roman" w:hAnsi="Times New Roman" w:cs="Times New Roman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sure</w:t>
      </w:r>
      <w:r w:rsidRPr="00A603A4">
        <w:rPr>
          <w:rFonts w:ascii="Times New Roman" w:hAnsi="Times New Roman" w:cs="Times New Roman"/>
          <w:spacing w:val="97"/>
        </w:rPr>
        <w:t xml:space="preserve"> </w:t>
      </w:r>
      <w:r w:rsidRPr="00A603A4">
        <w:rPr>
          <w:rFonts w:ascii="Times New Roman" w:hAnsi="Times New Roman" w:cs="Times New Roman"/>
        </w:rPr>
        <w:t>you</w:t>
      </w:r>
      <w:r w:rsidRPr="00A603A4">
        <w:rPr>
          <w:rFonts w:ascii="Times New Roman" w:hAnsi="Times New Roman" w:cs="Times New Roman"/>
          <w:spacing w:val="-1"/>
        </w:rPr>
        <w:t xml:space="preserve"> prepare</w:t>
      </w:r>
      <w:r w:rsidRPr="00A603A4">
        <w:rPr>
          <w:rFonts w:ascii="Times New Roman" w:hAnsi="Times New Roman" w:cs="Times New Roman"/>
        </w:rPr>
        <w:t xml:space="preserve"> a</w:t>
      </w:r>
      <w:r w:rsidRPr="00A603A4">
        <w:rPr>
          <w:rFonts w:ascii="Times New Roman" w:hAnsi="Times New Roman" w:cs="Times New Roman"/>
          <w:spacing w:val="-3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10-15</w:t>
      </w:r>
      <w:r w:rsidRPr="00A603A4">
        <w:rPr>
          <w:rFonts w:ascii="Times New Roman" w:hAnsi="Times New Roman" w:cs="Times New Roman"/>
          <w:spacing w:val="-2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>minutes</w:t>
      </w:r>
      <w:r w:rsidRPr="00A603A4">
        <w:rPr>
          <w:rFonts w:ascii="Times New Roman" w:hAnsi="Times New Roman" w:cs="Times New Roman"/>
          <w:spacing w:val="1"/>
        </w:rPr>
        <w:t xml:space="preserve"> </w:t>
      </w:r>
      <w:r w:rsidRPr="00A603A4">
        <w:rPr>
          <w:rFonts w:ascii="Times New Roman" w:hAnsi="Times New Roman" w:cs="Times New Roman"/>
          <w:spacing w:val="-1"/>
        </w:rPr>
        <w:t xml:space="preserve">presentation! </w:t>
      </w: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46CE3" w:rsidRPr="00A603A4" w:rsidRDefault="00C46CE3">
      <w:pPr>
        <w:spacing w:before="17" w:line="220" w:lineRule="exact"/>
        <w:rPr>
          <w:rFonts w:ascii="Times New Roman" w:hAnsi="Times New Roman" w:cs="Times New Roman"/>
        </w:rPr>
      </w:pPr>
    </w:p>
    <w:p w:rsidR="00C46CE3" w:rsidRPr="00A603A4" w:rsidRDefault="00821A2C" w:rsidP="00A603A4">
      <w:pPr>
        <w:spacing w:before="35"/>
        <w:ind w:right="13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>Due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>date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>of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report: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="00A3591C"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="00A3591C" w:rsidRPr="00A603A4">
        <w:rPr>
          <w:rFonts w:ascii="Times New Roman" w:eastAsia="Calibri" w:hAnsi="Times New Roman" w:cs="Times New Roman"/>
          <w:b/>
          <w:bCs/>
          <w:color w:val="FF0000"/>
          <w:sz w:val="24"/>
          <w:szCs w:val="32"/>
        </w:rPr>
        <w:t>10th Dec 2013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>(before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Pr="00A603A4">
        <w:rPr>
          <w:rFonts w:ascii="Times New Roman" w:eastAsia="Calibri" w:hAnsi="Times New Roman" w:cs="Times New Roman"/>
          <w:b/>
          <w:bCs/>
          <w:sz w:val="24"/>
          <w:szCs w:val="32"/>
        </w:rPr>
        <w:t>midnight)</w:t>
      </w:r>
    </w:p>
    <w:sectPr w:rsidR="00C46CE3" w:rsidRPr="00A603A4">
      <w:type w:val="continuous"/>
      <w:pgSz w:w="11907" w:h="16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504"/>
    <w:multiLevelType w:val="hybridMultilevel"/>
    <w:tmpl w:val="66789BE2"/>
    <w:lvl w:ilvl="0" w:tplc="B30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D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E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D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3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81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E3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3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66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02C8E"/>
    <w:multiLevelType w:val="hybridMultilevel"/>
    <w:tmpl w:val="16424276"/>
    <w:lvl w:ilvl="0" w:tplc="3ADA2E7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90493EC">
      <w:start w:val="1"/>
      <w:numFmt w:val="bullet"/>
      <w:lvlText w:val="•"/>
      <w:lvlJc w:val="left"/>
      <w:rPr>
        <w:rFonts w:hint="default"/>
      </w:rPr>
    </w:lvl>
    <w:lvl w:ilvl="2" w:tplc="67D4B4BC">
      <w:start w:val="1"/>
      <w:numFmt w:val="bullet"/>
      <w:lvlText w:val="•"/>
      <w:lvlJc w:val="left"/>
      <w:rPr>
        <w:rFonts w:hint="default"/>
      </w:rPr>
    </w:lvl>
    <w:lvl w:ilvl="3" w:tplc="250A339E">
      <w:start w:val="1"/>
      <w:numFmt w:val="bullet"/>
      <w:lvlText w:val="•"/>
      <w:lvlJc w:val="left"/>
      <w:rPr>
        <w:rFonts w:hint="default"/>
      </w:rPr>
    </w:lvl>
    <w:lvl w:ilvl="4" w:tplc="C016C060">
      <w:start w:val="1"/>
      <w:numFmt w:val="bullet"/>
      <w:lvlText w:val="•"/>
      <w:lvlJc w:val="left"/>
      <w:rPr>
        <w:rFonts w:hint="default"/>
      </w:rPr>
    </w:lvl>
    <w:lvl w:ilvl="5" w:tplc="DEB6949A">
      <w:start w:val="1"/>
      <w:numFmt w:val="bullet"/>
      <w:lvlText w:val="•"/>
      <w:lvlJc w:val="left"/>
      <w:rPr>
        <w:rFonts w:hint="default"/>
      </w:rPr>
    </w:lvl>
    <w:lvl w:ilvl="6" w:tplc="7D6C3C76">
      <w:start w:val="1"/>
      <w:numFmt w:val="bullet"/>
      <w:lvlText w:val="•"/>
      <w:lvlJc w:val="left"/>
      <w:rPr>
        <w:rFonts w:hint="default"/>
      </w:rPr>
    </w:lvl>
    <w:lvl w:ilvl="7" w:tplc="F1E21F98">
      <w:start w:val="1"/>
      <w:numFmt w:val="bullet"/>
      <w:lvlText w:val="•"/>
      <w:lvlJc w:val="left"/>
      <w:rPr>
        <w:rFonts w:hint="default"/>
      </w:rPr>
    </w:lvl>
    <w:lvl w:ilvl="8" w:tplc="77E63B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097BF8"/>
    <w:multiLevelType w:val="hybridMultilevel"/>
    <w:tmpl w:val="3E4A1F50"/>
    <w:lvl w:ilvl="0" w:tplc="1009000F">
      <w:start w:val="1"/>
      <w:numFmt w:val="decimal"/>
      <w:lvlText w:val="%1."/>
      <w:lvlJc w:val="left"/>
      <w:pPr>
        <w:ind w:left="476" w:hanging="360"/>
      </w:pPr>
    </w:lvl>
    <w:lvl w:ilvl="1" w:tplc="10090019" w:tentative="1">
      <w:start w:val="1"/>
      <w:numFmt w:val="lowerLetter"/>
      <w:lvlText w:val="%2."/>
      <w:lvlJc w:val="left"/>
      <w:pPr>
        <w:ind w:left="1196" w:hanging="360"/>
      </w:pPr>
    </w:lvl>
    <w:lvl w:ilvl="2" w:tplc="1009001B" w:tentative="1">
      <w:start w:val="1"/>
      <w:numFmt w:val="lowerRoman"/>
      <w:lvlText w:val="%3."/>
      <w:lvlJc w:val="right"/>
      <w:pPr>
        <w:ind w:left="1916" w:hanging="180"/>
      </w:pPr>
    </w:lvl>
    <w:lvl w:ilvl="3" w:tplc="1009000F" w:tentative="1">
      <w:start w:val="1"/>
      <w:numFmt w:val="decimal"/>
      <w:lvlText w:val="%4."/>
      <w:lvlJc w:val="left"/>
      <w:pPr>
        <w:ind w:left="2636" w:hanging="360"/>
      </w:pPr>
    </w:lvl>
    <w:lvl w:ilvl="4" w:tplc="10090019" w:tentative="1">
      <w:start w:val="1"/>
      <w:numFmt w:val="lowerLetter"/>
      <w:lvlText w:val="%5."/>
      <w:lvlJc w:val="left"/>
      <w:pPr>
        <w:ind w:left="3356" w:hanging="360"/>
      </w:pPr>
    </w:lvl>
    <w:lvl w:ilvl="5" w:tplc="1009001B" w:tentative="1">
      <w:start w:val="1"/>
      <w:numFmt w:val="lowerRoman"/>
      <w:lvlText w:val="%6."/>
      <w:lvlJc w:val="right"/>
      <w:pPr>
        <w:ind w:left="4076" w:hanging="180"/>
      </w:pPr>
    </w:lvl>
    <w:lvl w:ilvl="6" w:tplc="1009000F" w:tentative="1">
      <w:start w:val="1"/>
      <w:numFmt w:val="decimal"/>
      <w:lvlText w:val="%7."/>
      <w:lvlJc w:val="left"/>
      <w:pPr>
        <w:ind w:left="4796" w:hanging="360"/>
      </w:pPr>
    </w:lvl>
    <w:lvl w:ilvl="7" w:tplc="10090019" w:tentative="1">
      <w:start w:val="1"/>
      <w:numFmt w:val="lowerLetter"/>
      <w:lvlText w:val="%8."/>
      <w:lvlJc w:val="left"/>
      <w:pPr>
        <w:ind w:left="5516" w:hanging="360"/>
      </w:pPr>
    </w:lvl>
    <w:lvl w:ilvl="8" w:tplc="10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6CE3"/>
    <w:rsid w:val="00821A2C"/>
    <w:rsid w:val="00A3591C"/>
    <w:rsid w:val="00A603A4"/>
    <w:rsid w:val="00C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07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888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0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40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>ULg - Montefiore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Van Steen</dc:creator>
  <cp:lastModifiedBy>Kyrylo Bessonov</cp:lastModifiedBy>
  <cp:revision>4</cp:revision>
  <dcterms:created xsi:type="dcterms:W3CDTF">2013-11-11T05:57:00Z</dcterms:created>
  <dcterms:modified xsi:type="dcterms:W3CDTF">2013-11-11T12:09:00Z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2013-11-11T00:00:00Z</vt:filetime>
  </property>
</Properties>
</file>